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74A08" w:rsidRDefault="0095241F">
      <w:pPr>
        <w:pBdr>
          <w:bottom w:val="dotted" w:sz="4" w:space="1" w:color="404040"/>
        </w:pBdr>
        <w:tabs>
          <w:tab w:val="left" w:pos="3740"/>
        </w:tabs>
        <w:spacing w:after="480" w:line="276" w:lineRule="auto"/>
        <w:jc w:val="both"/>
        <w:rPr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sz w:val="28"/>
          <w:szCs w:val="28"/>
        </w:rPr>
        <w:t xml:space="preserve">Capítulo </w:t>
      </w:r>
      <w:sdt>
        <w:sdtPr>
          <w:tag w:val="goog_rdk_0"/>
          <w:id w:val="-1342306084"/>
        </w:sdtPr>
        <w:sdtEndPr/>
        <w:sdtContent>
          <w:commentRangeStart w:id="2"/>
        </w:sdtContent>
      </w:sdt>
      <w:r>
        <w:rPr>
          <w:b/>
          <w:sz w:val="28"/>
          <w:szCs w:val="28"/>
        </w:rPr>
        <w:t>xx</w:t>
      </w:r>
      <w:r>
        <w:rPr>
          <w:sz w:val="28"/>
          <w:szCs w:val="28"/>
        </w:rPr>
        <w:t xml:space="preserve"> </w:t>
      </w:r>
      <w:commentRangeEnd w:id="2"/>
      <w:r>
        <w:commentReference w:id="2"/>
      </w:r>
      <w:r>
        <w:rPr>
          <w:sz w:val="28"/>
          <w:szCs w:val="28"/>
        </w:rPr>
        <w:t>| Parecer Técnico</w:t>
      </w:r>
    </w:p>
    <w:tbl>
      <w:tblPr>
        <w:tblStyle w:val="a"/>
        <w:tblW w:w="85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6945"/>
      </w:tblGrid>
      <w:tr w:rsidR="00374A08" w14:paraId="30452CDB" w14:textId="77777777">
        <w:tc>
          <w:tcPr>
            <w:tcW w:w="1560" w:type="dxa"/>
            <w:shd w:val="clear" w:color="auto" w:fill="007749"/>
            <w:vAlign w:val="center"/>
          </w:tcPr>
          <w:p w14:paraId="00000002" w14:textId="77777777" w:rsidR="00374A08" w:rsidRDefault="0095241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  <w:color w:val="FFFFFF"/>
              </w:rPr>
              <w:t>O que é?</w:t>
            </w:r>
          </w:p>
        </w:tc>
        <w:tc>
          <w:tcPr>
            <w:tcW w:w="6945" w:type="dxa"/>
            <w:vAlign w:val="center"/>
          </w:tcPr>
          <w:p w14:paraId="00000003" w14:textId="77777777" w:rsidR="00374A08" w:rsidRDefault="0095241F">
            <w:pPr>
              <w:spacing w:after="24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 Parecer Técnico é o documento que fundamenta a inexigibilidade de licitação. O ato deve demonstrar de forma clara e fundamentada a caracterização da inviabilidade de competição com base nos documentos e informações constantes no processo. </w:t>
            </w:r>
          </w:p>
        </w:tc>
      </w:tr>
      <w:tr w:rsidR="00374A08" w14:paraId="68D69EA1" w14:textId="77777777">
        <w:tc>
          <w:tcPr>
            <w:tcW w:w="1560" w:type="dxa"/>
            <w:shd w:val="clear" w:color="auto" w:fill="808080"/>
            <w:vAlign w:val="center"/>
          </w:tcPr>
          <w:p w14:paraId="00000004" w14:textId="77777777" w:rsidR="00374A08" w:rsidRDefault="0095241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  <w:color w:val="FFFFFF"/>
              </w:rPr>
              <w:t>Quem deve</w:t>
            </w:r>
            <w:r>
              <w:rPr>
                <w:rFonts w:ascii="Calibri" w:eastAsia="Calibri" w:hAnsi="Calibri" w:cs="Calibri"/>
                <w:b/>
                <w:smallCaps/>
                <w:color w:val="FFFFFF"/>
              </w:rPr>
              <w:br/>
              <w:t>ela</w:t>
            </w:r>
            <w:r>
              <w:rPr>
                <w:rFonts w:ascii="Calibri" w:eastAsia="Calibri" w:hAnsi="Calibri" w:cs="Calibri"/>
                <w:b/>
                <w:smallCaps/>
                <w:color w:val="FFFFFF"/>
              </w:rPr>
              <w:t>borar?</w:t>
            </w:r>
          </w:p>
        </w:tc>
        <w:tc>
          <w:tcPr>
            <w:tcW w:w="6945" w:type="dxa"/>
            <w:vAlign w:val="center"/>
          </w:tcPr>
          <w:p w14:paraId="00000005" w14:textId="77777777" w:rsidR="00374A08" w:rsidRDefault="0095241F">
            <w:pPr>
              <w:spacing w:before="24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 agente de contratação é o responsável pela elaboração do Parecer Técnico (art. 5º, I, do Decreto Estadual 2.939/23), podendo ser auxiliado por outras unidades administrativas quando o objeto envolver conhecimentos técnicos específicos.</w:t>
            </w:r>
          </w:p>
        </w:tc>
      </w:tr>
    </w:tbl>
    <w:p w14:paraId="00000006" w14:textId="77777777" w:rsidR="00374A08" w:rsidRDefault="00374A08">
      <w:pPr>
        <w:spacing w:before="480" w:after="80" w:line="276" w:lineRule="auto"/>
        <w:rPr>
          <w:b/>
        </w:rPr>
      </w:pPr>
    </w:p>
    <w:tbl>
      <w:tblPr>
        <w:tblStyle w:val="a0"/>
        <w:tblW w:w="85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"/>
        <w:gridCol w:w="8045"/>
      </w:tblGrid>
      <w:tr w:rsidR="00374A08" w14:paraId="0C9074DC" w14:textId="77777777">
        <w:tc>
          <w:tcPr>
            <w:tcW w:w="8505" w:type="dxa"/>
            <w:gridSpan w:val="2"/>
            <w:shd w:val="clear" w:color="auto" w:fill="EB293A"/>
            <w:vAlign w:val="center"/>
          </w:tcPr>
          <w:p w14:paraId="00000007" w14:textId="77777777" w:rsidR="00374A08" w:rsidRDefault="0095241F">
            <w:pPr>
              <w:spacing w:before="80" w:after="8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O QUE DEVE CONTER?</w:t>
            </w:r>
          </w:p>
        </w:tc>
      </w:tr>
      <w:tr w:rsidR="00374A08" w14:paraId="1CDFE4C1" w14:textId="77777777">
        <w:trPr>
          <w:trHeight w:val="60"/>
        </w:trPr>
        <w:tc>
          <w:tcPr>
            <w:tcW w:w="460" w:type="dxa"/>
            <w:shd w:val="clear" w:color="auto" w:fill="FFFFFF"/>
            <w:vAlign w:val="center"/>
          </w:tcPr>
          <w:p w14:paraId="00000009" w14:textId="77777777" w:rsidR="00374A08" w:rsidRDefault="0095241F">
            <w:pPr>
              <w:spacing w:after="8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8045" w:type="dxa"/>
            <w:shd w:val="clear" w:color="auto" w:fill="FFFFFF"/>
            <w:vAlign w:val="center"/>
          </w:tcPr>
          <w:p w14:paraId="0000000A" w14:textId="77777777" w:rsidR="00374A08" w:rsidRDefault="0095241F">
            <w:pPr>
              <w:spacing w:after="8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Justificativa da escolha do contratado.</w:t>
            </w:r>
          </w:p>
        </w:tc>
      </w:tr>
      <w:tr w:rsidR="00374A08" w14:paraId="545788DE" w14:textId="77777777">
        <w:trPr>
          <w:trHeight w:val="60"/>
        </w:trPr>
        <w:tc>
          <w:tcPr>
            <w:tcW w:w="460" w:type="dxa"/>
            <w:shd w:val="clear" w:color="auto" w:fill="FAC6CB"/>
            <w:vAlign w:val="center"/>
          </w:tcPr>
          <w:p w14:paraId="0000000B" w14:textId="77777777" w:rsidR="00374A08" w:rsidRDefault="0095241F">
            <w:pPr>
              <w:spacing w:before="80" w:after="8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8045" w:type="dxa"/>
            <w:shd w:val="clear" w:color="auto" w:fill="FAC6CB"/>
            <w:vAlign w:val="center"/>
          </w:tcPr>
          <w:p w14:paraId="0000000C" w14:textId="77777777" w:rsidR="00374A08" w:rsidRDefault="0095241F">
            <w:pPr>
              <w:spacing w:after="8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Análise da qualificação técnica.</w:t>
            </w:r>
          </w:p>
        </w:tc>
      </w:tr>
      <w:tr w:rsidR="00374A08" w14:paraId="3D2A94CD" w14:textId="77777777">
        <w:trPr>
          <w:trHeight w:val="60"/>
        </w:trPr>
        <w:tc>
          <w:tcPr>
            <w:tcW w:w="460" w:type="dxa"/>
            <w:shd w:val="clear" w:color="auto" w:fill="FFFFFF"/>
            <w:vAlign w:val="center"/>
          </w:tcPr>
          <w:p w14:paraId="0000000D" w14:textId="77777777" w:rsidR="00374A08" w:rsidRDefault="0095241F">
            <w:pPr>
              <w:spacing w:before="80" w:after="8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8045" w:type="dxa"/>
            <w:shd w:val="clear" w:color="auto" w:fill="FFFFFF"/>
            <w:vAlign w:val="center"/>
          </w:tcPr>
          <w:p w14:paraId="0000000E" w14:textId="77777777" w:rsidR="00374A08" w:rsidRDefault="0095241F">
            <w:pPr>
              <w:spacing w:after="8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Enquadramento nas hipóteses de inexigibilidade.</w:t>
            </w:r>
          </w:p>
        </w:tc>
      </w:tr>
    </w:tbl>
    <w:p w14:paraId="0000000F" w14:textId="77777777" w:rsidR="00374A08" w:rsidRDefault="00374A08">
      <w:pPr>
        <w:keepNext/>
        <w:spacing w:after="240" w:line="276" w:lineRule="auto"/>
        <w:ind w:firstLine="709"/>
        <w:jc w:val="both"/>
      </w:pPr>
    </w:p>
    <w:p w14:paraId="00000010" w14:textId="77777777" w:rsidR="00374A08" w:rsidRDefault="0095241F">
      <w:pPr>
        <w:spacing w:before="240" w:after="80" w:line="276" w:lineRule="auto"/>
        <w:jc w:val="both"/>
      </w:pPr>
      <w:r>
        <w:tab/>
        <w:t>Abaixo está o modelo que deve ser seguido pela administração pública estadual.</w:t>
      </w:r>
    </w:p>
    <w:p w14:paraId="00000011" w14:textId="77777777" w:rsidR="00374A08" w:rsidRDefault="0095241F">
      <w:pPr>
        <w:spacing w:before="240" w:after="80" w:line="276" w:lineRule="auto"/>
        <w:jc w:val="both"/>
        <w:sectPr w:rsidR="00374A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701" w:right="1701" w:bottom="1134" w:left="1701" w:header="851" w:footer="1134" w:gutter="0"/>
          <w:pgNumType w:start="25"/>
          <w:cols w:space="720"/>
          <w:titlePg/>
        </w:sectPr>
      </w:pPr>
      <w:r>
        <w:tab/>
      </w:r>
      <w:r>
        <w:tab/>
      </w:r>
    </w:p>
    <w:p w14:paraId="00000012" w14:textId="77777777" w:rsidR="00374A08" w:rsidRDefault="0095241F">
      <w:pPr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 PARECER TÉCNICO (ART. 72, III, LEI Nº 14.133/21)</w:t>
      </w:r>
    </w:p>
    <w:p w14:paraId="00000013" w14:textId="77777777" w:rsidR="00374A08" w:rsidRDefault="0095241F">
      <w:pPr>
        <w:spacing w:after="480" w:line="276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PAE nº aaaa/nnnn</w:t>
      </w:r>
    </w:p>
    <w:tbl>
      <w:tblPr>
        <w:tblStyle w:val="a1"/>
        <w:tblW w:w="104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7"/>
        <w:gridCol w:w="2964"/>
      </w:tblGrid>
      <w:tr w:rsidR="00374A08" w14:paraId="24F9B567" w14:textId="77777777">
        <w:tc>
          <w:tcPr>
            <w:tcW w:w="10472" w:type="dxa"/>
            <w:gridSpan w:val="2"/>
            <w:shd w:val="clear" w:color="auto" w:fill="0F4C81"/>
          </w:tcPr>
          <w:p w14:paraId="00000014" w14:textId="77777777" w:rsidR="00374A08" w:rsidRDefault="0095241F">
            <w:pPr>
              <w:spacing w:before="80" w:after="80" w:line="276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1 - JUSTIFICATIVA DA ESCOLHA DO CONTRATADO </w:t>
            </w:r>
          </w:p>
          <w:p w14:paraId="00000015" w14:textId="77777777" w:rsidR="00374A08" w:rsidRDefault="0095241F">
            <w:pPr>
              <w:spacing w:before="80" w:after="80" w:line="276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(Arts. 72, III e VI; e 74, caput e incisos, da Lei nº 14.133/2021)</w:t>
            </w:r>
          </w:p>
        </w:tc>
      </w:tr>
      <w:tr w:rsidR="00374A08" w14:paraId="1AB1040A" w14:textId="77777777">
        <w:trPr>
          <w:trHeight w:val="85"/>
        </w:trPr>
        <w:tc>
          <w:tcPr>
            <w:tcW w:w="10472" w:type="dxa"/>
            <w:gridSpan w:val="2"/>
            <w:tcBorders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FFFFFF"/>
            <w:vAlign w:val="center"/>
          </w:tcPr>
          <w:p w14:paraId="00000017" w14:textId="77777777" w:rsidR="00374A08" w:rsidRDefault="00374A0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00000018" w14:textId="77777777" w:rsidR="00374A08" w:rsidRDefault="0095241F">
            <w:pPr>
              <w:spacing w:after="24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(preencher aqui)</w:t>
            </w:r>
          </w:p>
        </w:tc>
      </w:tr>
      <w:tr w:rsidR="00374A08" w14:paraId="13F4C263" w14:textId="77777777">
        <w:trPr>
          <w:trHeight w:val="85"/>
        </w:trPr>
        <w:tc>
          <w:tcPr>
            <w:tcW w:w="10472" w:type="dxa"/>
            <w:gridSpan w:val="2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14:paraId="0000001A" w14:textId="77777777" w:rsidR="00374A08" w:rsidRDefault="0095241F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bookmarkStart w:id="3" w:name="_heading=h.30j0zll" w:colFirst="0" w:colLast="0"/>
            <w:bookmarkEnd w:id="3"/>
            <w:r>
              <w:rPr>
                <w:rFonts w:ascii="Calibri" w:eastAsia="Calibri" w:hAnsi="Calibri" w:cs="Calibri"/>
                <w:i/>
                <w:color w:val="4472C4"/>
              </w:rPr>
              <w:t>Nota explicativa</w:t>
            </w:r>
            <w:r>
              <w:rPr>
                <w:rFonts w:ascii="Calibri" w:eastAsia="Calibri" w:hAnsi="Calibri" w:cs="Calibri"/>
                <w:color w:val="4472C4"/>
              </w:rPr>
              <w:t>: O Parecer Técnico deve conter a descrição detalhada da razão de escolha dos contratados, com base nos documentos e informações constantes no processo, que devem ser analisados de forma expressa neste campo.</w:t>
            </w:r>
          </w:p>
        </w:tc>
      </w:tr>
      <w:tr w:rsidR="00374A08" w14:paraId="2FD1FFC5" w14:textId="77777777">
        <w:tc>
          <w:tcPr>
            <w:tcW w:w="10472" w:type="dxa"/>
            <w:gridSpan w:val="2"/>
            <w:tcBorders>
              <w:top w:val="single" w:sz="4" w:space="0" w:color="FF0000"/>
            </w:tcBorders>
            <w:shd w:val="clear" w:color="auto" w:fill="0F4C81"/>
            <w:vAlign w:val="center"/>
          </w:tcPr>
          <w:p w14:paraId="0000001C" w14:textId="77777777" w:rsidR="00374A08" w:rsidRDefault="0095241F">
            <w:pPr>
              <w:spacing w:before="80" w:after="80" w:line="276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bookmarkStart w:id="4" w:name="_heading=h.1fob9te" w:colFirst="0" w:colLast="0"/>
            <w:bookmarkEnd w:id="4"/>
            <w:r>
              <w:rPr>
                <w:rFonts w:ascii="Calibri" w:eastAsia="Calibri" w:hAnsi="Calibri" w:cs="Calibri"/>
                <w:b/>
                <w:color w:val="FFFFFF"/>
              </w:rPr>
              <w:t>2 – ANÁLISE DA QUALIFICAÇÃO TÉCNICA DO FUTURO CONTRATADO</w:t>
            </w:r>
          </w:p>
          <w:p w14:paraId="0000001D" w14:textId="77777777" w:rsidR="00374A08" w:rsidRDefault="0095241F">
            <w:pPr>
              <w:spacing w:before="80" w:after="80" w:line="276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(Art. 5º, § 3º, I, do Decreto Estadual nº 2.939/2023)</w:t>
            </w:r>
          </w:p>
        </w:tc>
      </w:tr>
      <w:tr w:rsidR="00374A08" w14:paraId="264DFE10" w14:textId="77777777">
        <w:trPr>
          <w:trHeight w:val="85"/>
        </w:trPr>
        <w:tc>
          <w:tcPr>
            <w:tcW w:w="10472" w:type="dxa"/>
            <w:gridSpan w:val="2"/>
            <w:tcBorders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FFFFFF"/>
            <w:vAlign w:val="center"/>
          </w:tcPr>
          <w:p w14:paraId="0000001F" w14:textId="77777777" w:rsidR="00374A08" w:rsidRDefault="0095241F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i/>
                <w:color w:val="4472C4"/>
              </w:rPr>
            </w:pPr>
            <w:r>
              <w:rPr>
                <w:rFonts w:ascii="Calibri" w:eastAsia="Calibri" w:hAnsi="Calibri" w:cs="Calibri"/>
              </w:rPr>
              <w:t>(preencher aqui)</w:t>
            </w:r>
          </w:p>
        </w:tc>
      </w:tr>
      <w:tr w:rsidR="00374A08" w14:paraId="191868F5" w14:textId="77777777">
        <w:trPr>
          <w:trHeight w:val="85"/>
        </w:trPr>
        <w:tc>
          <w:tcPr>
            <w:tcW w:w="10472" w:type="dxa"/>
            <w:gridSpan w:val="2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14:paraId="00000021" w14:textId="77777777" w:rsidR="00374A08" w:rsidRDefault="0095241F">
            <w:pPr>
              <w:spacing w:before="240"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i/>
                <w:color w:val="4472C4"/>
              </w:rPr>
              <w:t>Nota explicativa</w:t>
            </w:r>
            <w:r>
              <w:rPr>
                <w:rFonts w:ascii="Calibri" w:eastAsia="Calibri" w:hAnsi="Calibri" w:cs="Calibri"/>
                <w:color w:val="4472C4"/>
              </w:rPr>
              <w:t>: Eventual exigência de qualificação técnica específica para o objeto pretendido (art. 67 da Lei Federal nº 14.133/21) deverá estar prevista no termo de referência, conforme item 4.1.12 da lista de conferência de fase preparatória.</w:t>
            </w:r>
          </w:p>
          <w:p w14:paraId="00000022" w14:textId="77777777" w:rsidR="00374A08" w:rsidRDefault="0095241F">
            <w:pPr>
              <w:spacing w:after="240"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 xml:space="preserve">Caso a exigência esteja </w:t>
            </w:r>
            <w:r>
              <w:rPr>
                <w:rFonts w:ascii="Calibri" w:eastAsia="Calibri" w:hAnsi="Calibri" w:cs="Calibri"/>
                <w:color w:val="4472C4"/>
              </w:rPr>
              <w:t>prevista, o parecer técnico deve analisar a qualificação técnica do contratado com base nos documentos e informações constantes nos autos processuais.</w:t>
            </w:r>
          </w:p>
        </w:tc>
      </w:tr>
      <w:tr w:rsidR="00374A08" w14:paraId="587F3ADF" w14:textId="77777777">
        <w:tc>
          <w:tcPr>
            <w:tcW w:w="10472" w:type="dxa"/>
            <w:gridSpan w:val="2"/>
            <w:tcBorders>
              <w:top w:val="single" w:sz="4" w:space="0" w:color="FF0000"/>
            </w:tcBorders>
            <w:shd w:val="clear" w:color="auto" w:fill="0F4C81"/>
            <w:vAlign w:val="center"/>
          </w:tcPr>
          <w:p w14:paraId="00000024" w14:textId="77777777" w:rsidR="00374A08" w:rsidRDefault="0095241F">
            <w:pPr>
              <w:spacing w:before="80" w:after="80" w:line="276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3 - ENQUADRAMENTO NA HIPÓTESE DE INEXIGIBILIDADE </w:t>
            </w:r>
          </w:p>
          <w:p w14:paraId="00000025" w14:textId="77777777" w:rsidR="00374A08" w:rsidRDefault="0095241F">
            <w:pPr>
              <w:spacing w:before="80" w:after="80" w:line="276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(Arts. 72, III, e 74 da Lei nº 14.133/2021)</w:t>
            </w:r>
          </w:p>
        </w:tc>
      </w:tr>
      <w:tr w:rsidR="00374A08" w14:paraId="24025BDF" w14:textId="77777777">
        <w:trPr>
          <w:trHeight w:val="945"/>
        </w:trPr>
        <w:tc>
          <w:tcPr>
            <w:tcW w:w="10472" w:type="dxa"/>
            <w:gridSpan w:val="2"/>
            <w:tcBorders>
              <w:right w:val="single" w:sz="4" w:space="0" w:color="000000"/>
            </w:tcBorders>
            <w:vAlign w:val="center"/>
          </w:tcPr>
          <w:p w14:paraId="00000027" w14:textId="77777777" w:rsidR="00374A08" w:rsidRDefault="0095241F">
            <w:pPr>
              <w:spacing w:before="80" w:after="8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(preencher aqui)</w:t>
            </w:r>
          </w:p>
        </w:tc>
      </w:tr>
      <w:tr w:rsidR="00374A08" w14:paraId="098B5235" w14:textId="77777777">
        <w:trPr>
          <w:trHeight w:val="945"/>
        </w:trPr>
        <w:tc>
          <w:tcPr>
            <w:tcW w:w="10472" w:type="dxa"/>
            <w:gridSpan w:val="2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0000029" w14:textId="77777777" w:rsidR="00374A08" w:rsidRDefault="0095241F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i/>
                <w:color w:val="4472C4"/>
              </w:rPr>
              <w:t>Nota explicativa</w:t>
            </w:r>
            <w:r>
              <w:rPr>
                <w:rFonts w:ascii="Calibri" w:eastAsia="Calibri" w:hAnsi="Calibri" w:cs="Calibri"/>
                <w:color w:val="4472C4"/>
              </w:rPr>
              <w:t xml:space="preserve">: No campo acima, o agente de contratação deve detalhar o enquadramento do objeto envolvido na hipótese legal prevista, com detalhamento dos aspectos peculiares de cada possibilidade, conforme notas explicativas dos itens </w:t>
            </w:r>
            <w:r>
              <w:rPr>
                <w:rFonts w:ascii="Calibri" w:eastAsia="Calibri" w:hAnsi="Calibri" w:cs="Calibri"/>
                <w:color w:val="4472C4"/>
              </w:rPr>
              <w:t xml:space="preserve">3.1, 3.2, 3.3, 3.4 e 3.5. </w:t>
            </w:r>
          </w:p>
        </w:tc>
      </w:tr>
      <w:tr w:rsidR="00374A08" w14:paraId="40DD66B6" w14:textId="77777777">
        <w:trPr>
          <w:trHeight w:val="945"/>
        </w:trPr>
        <w:tc>
          <w:tcPr>
            <w:tcW w:w="7508" w:type="dxa"/>
            <w:tcBorders>
              <w:top w:val="single" w:sz="4" w:space="0" w:color="FF0000"/>
              <w:right w:val="single" w:sz="4" w:space="0" w:color="000000"/>
            </w:tcBorders>
            <w:vAlign w:val="center"/>
          </w:tcPr>
          <w:p w14:paraId="0000002B" w14:textId="77777777" w:rsidR="00374A08" w:rsidRDefault="0095241F">
            <w:pPr>
              <w:spacing w:after="80" w:line="276" w:lineRule="auto"/>
              <w:rPr>
                <w:rFonts w:ascii="Calibri" w:eastAsia="Calibri" w:hAnsi="Calibri" w:cs="Calibri"/>
                <w:b/>
                <w:smallCaps/>
              </w:rPr>
            </w:pPr>
            <w:bookmarkStart w:id="5" w:name="_heading=h.3znysh7" w:colFirst="0" w:colLast="0"/>
            <w:bookmarkEnd w:id="5"/>
            <w:r>
              <w:rPr>
                <w:rFonts w:ascii="Calibri" w:eastAsia="Calibri" w:hAnsi="Calibri" w:cs="Calibri"/>
                <w:b/>
                <w:smallCaps/>
              </w:rPr>
              <w:t>3.1 - Inviabilidade de competição (hipótese geral)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2C" w14:textId="77777777" w:rsidR="00374A08" w:rsidRDefault="0095241F">
            <w:pPr>
              <w:spacing w:before="80" w:after="8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☐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4472C4"/>
              </w:rPr>
              <w:t>(assinalar se for o caso)</w:t>
            </w:r>
          </w:p>
        </w:tc>
      </w:tr>
      <w:tr w:rsidR="00374A08" w14:paraId="08BA3B72" w14:textId="77777777">
        <w:trPr>
          <w:trHeight w:val="70"/>
        </w:trPr>
        <w:tc>
          <w:tcPr>
            <w:tcW w:w="10472" w:type="dxa"/>
            <w:gridSpan w:val="2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000002D" w14:textId="77777777" w:rsidR="00374A08" w:rsidRDefault="0095241F">
            <w:pPr>
              <w:spacing w:before="240"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i/>
                <w:color w:val="4472C4"/>
              </w:rPr>
              <w:lastRenderedPageBreak/>
              <w:t>Nota explicativa</w:t>
            </w:r>
            <w:r>
              <w:rPr>
                <w:rFonts w:ascii="Calibri" w:eastAsia="Calibri" w:hAnsi="Calibri" w:cs="Calibri"/>
                <w:color w:val="4472C4"/>
              </w:rPr>
              <w:t>: A inexigibilidade de licitação fundamenta-se na inviabilidade de competição e nem todos os casos de inexigibilidade estão expressamente previstos nos incisos do art. 74 da Lei Federal nº 14.133/2021.</w:t>
            </w:r>
          </w:p>
          <w:p w14:paraId="0000002E" w14:textId="77777777" w:rsidR="00374A08" w:rsidRDefault="0095241F">
            <w:pPr>
              <w:spacing w:after="240"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Se o objeto não se adequar a um dos casos previstos abaixo, pode ser o caso de enquadramento na hipótese geral, o que deverá ser justificado e demonstrado pelo agente de contratação responsável.</w:t>
            </w:r>
          </w:p>
        </w:tc>
      </w:tr>
      <w:tr w:rsidR="00374A08" w14:paraId="6B874A65" w14:textId="77777777">
        <w:trPr>
          <w:trHeight w:val="945"/>
        </w:trPr>
        <w:tc>
          <w:tcPr>
            <w:tcW w:w="7508" w:type="dxa"/>
            <w:tcBorders>
              <w:top w:val="single" w:sz="4" w:space="0" w:color="FF0000"/>
              <w:right w:val="single" w:sz="4" w:space="0" w:color="000000"/>
            </w:tcBorders>
            <w:vAlign w:val="center"/>
          </w:tcPr>
          <w:p w14:paraId="00000030" w14:textId="77777777" w:rsidR="00374A08" w:rsidRDefault="0095241F">
            <w:pPr>
              <w:spacing w:after="80" w:line="276" w:lineRule="auto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3.2 - Exclusividade do contratado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31" w14:textId="77777777" w:rsidR="00374A08" w:rsidRDefault="0095241F">
            <w:pPr>
              <w:spacing w:before="80" w:after="8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☐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4472C4"/>
              </w:rPr>
              <w:t>(assinalar se for o caso</w:t>
            </w:r>
            <w:r>
              <w:rPr>
                <w:rFonts w:ascii="Calibri" w:eastAsia="Calibri" w:hAnsi="Calibri" w:cs="Calibri"/>
                <w:i/>
                <w:color w:val="4472C4"/>
              </w:rPr>
              <w:t>)</w:t>
            </w:r>
          </w:p>
        </w:tc>
      </w:tr>
      <w:tr w:rsidR="00374A08" w14:paraId="403DF78F" w14:textId="77777777">
        <w:trPr>
          <w:trHeight w:val="70"/>
        </w:trPr>
        <w:tc>
          <w:tcPr>
            <w:tcW w:w="10472" w:type="dxa"/>
            <w:gridSpan w:val="2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0000032" w14:textId="77777777" w:rsidR="00374A08" w:rsidRDefault="0095241F">
            <w:pPr>
              <w:spacing w:before="240"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i/>
                <w:color w:val="4472C4"/>
              </w:rPr>
              <w:t>Nota explicativa</w:t>
            </w:r>
            <w:r>
              <w:rPr>
                <w:rFonts w:ascii="Calibri" w:eastAsia="Calibri" w:hAnsi="Calibri" w:cs="Calibri"/>
                <w:color w:val="4472C4"/>
              </w:rPr>
              <w:t xml:space="preserve">: Nesse caso, o parecer técnico deverá demonstrar que o objeto só pode ser fornecido ou prestado por produtor, empresa ou representante comercial exclusivos. </w:t>
            </w:r>
          </w:p>
          <w:p w14:paraId="00000033" w14:textId="77777777" w:rsidR="00374A08" w:rsidRDefault="0095241F">
            <w:pPr>
              <w:spacing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 xml:space="preserve">A exclusividade não deve ser confundida com preferência por determinada marca, fabricante ou prestador de serviço. </w:t>
            </w:r>
          </w:p>
          <w:p w14:paraId="00000034" w14:textId="77777777" w:rsidR="00374A08" w:rsidRDefault="0095241F">
            <w:pPr>
              <w:spacing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O processo deve ser instruído com prova documental da exclusividade, tais como: atestado de exclusividade, contrato de exclusividade, declar</w:t>
            </w:r>
            <w:r>
              <w:rPr>
                <w:rFonts w:ascii="Calibri" w:eastAsia="Calibri" w:hAnsi="Calibri" w:cs="Calibri"/>
                <w:color w:val="4472C4"/>
              </w:rPr>
              <w:t xml:space="preserve">ação do fabricante, pareceres técnicos de especialistas ou outro documento idôneo capaz de demonstrar a exclusividade. </w:t>
            </w:r>
          </w:p>
          <w:p w14:paraId="00000035" w14:textId="77777777" w:rsidR="00374A08" w:rsidRDefault="0095241F">
            <w:pPr>
              <w:spacing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É necessária a confirmação da veracidade da documentação comprobatória da condição de exclusividade e esta providência é de responsabili</w:t>
            </w:r>
            <w:r>
              <w:rPr>
                <w:rFonts w:ascii="Calibri" w:eastAsia="Calibri" w:hAnsi="Calibri" w:cs="Calibri"/>
                <w:color w:val="4472C4"/>
              </w:rPr>
              <w:t>dade da Administração, o que deverá ser atestado no parecer técnico.</w:t>
            </w:r>
          </w:p>
          <w:p w14:paraId="00000036" w14:textId="77777777" w:rsidR="00374A08" w:rsidRDefault="0095241F">
            <w:pPr>
              <w:spacing w:after="24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472C4"/>
              </w:rPr>
              <w:t>A exclusividade não pode se basear unicamente em documentos fornecidos pelo futuro contratado.</w:t>
            </w:r>
          </w:p>
        </w:tc>
      </w:tr>
      <w:tr w:rsidR="00374A08" w14:paraId="244EEDF6" w14:textId="77777777">
        <w:trPr>
          <w:trHeight w:val="945"/>
        </w:trPr>
        <w:tc>
          <w:tcPr>
            <w:tcW w:w="7508" w:type="dxa"/>
            <w:tcBorders>
              <w:top w:val="single" w:sz="4" w:space="0" w:color="FF0000"/>
              <w:right w:val="single" w:sz="4" w:space="0" w:color="000000"/>
            </w:tcBorders>
            <w:vAlign w:val="center"/>
          </w:tcPr>
          <w:p w14:paraId="00000038" w14:textId="77777777" w:rsidR="00374A08" w:rsidRDefault="0095241F">
            <w:pPr>
              <w:spacing w:after="80" w:line="276" w:lineRule="auto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3.3 - Profissional do setor artístico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39" w14:textId="77777777" w:rsidR="00374A08" w:rsidRDefault="0095241F">
            <w:pPr>
              <w:spacing w:before="80" w:after="8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☐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4472C4"/>
              </w:rPr>
              <w:t>(assinalar se for o caso)</w:t>
            </w:r>
          </w:p>
        </w:tc>
      </w:tr>
      <w:tr w:rsidR="00374A08" w14:paraId="030BB503" w14:textId="77777777">
        <w:trPr>
          <w:trHeight w:val="70"/>
        </w:trPr>
        <w:tc>
          <w:tcPr>
            <w:tcW w:w="10472" w:type="dxa"/>
            <w:gridSpan w:val="2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000003A" w14:textId="77777777" w:rsidR="00374A08" w:rsidRDefault="0095241F">
            <w:pPr>
              <w:spacing w:before="240"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i/>
                <w:color w:val="4472C4"/>
              </w:rPr>
              <w:t>Nota explicativa</w:t>
            </w:r>
            <w:r>
              <w:rPr>
                <w:rFonts w:ascii="Calibri" w:eastAsia="Calibri" w:hAnsi="Calibri" w:cs="Calibri"/>
                <w:color w:val="4472C4"/>
              </w:rPr>
              <w:t xml:space="preserve">: Nessa hipótese, o parecer técnico deve demonstrar que o artista é consagrado pela crítica especializada ou opinião pública. </w:t>
            </w:r>
          </w:p>
          <w:p w14:paraId="0000003B" w14:textId="77777777" w:rsidR="00374A08" w:rsidRDefault="0095241F">
            <w:pPr>
              <w:spacing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Se a contratação for por meio de empresário exclusivo, deve ser juntado ao processo contrato, declaração, carta ou outro document</w:t>
            </w:r>
            <w:r>
              <w:rPr>
                <w:rFonts w:ascii="Calibri" w:eastAsia="Calibri" w:hAnsi="Calibri" w:cs="Calibri"/>
                <w:color w:val="4472C4"/>
              </w:rPr>
              <w:t>o que ateste a exclusividade, permanente e contínua, de abrangência nacional.</w:t>
            </w:r>
          </w:p>
          <w:p w14:paraId="0000003C" w14:textId="77777777" w:rsidR="00374A08" w:rsidRDefault="0095241F">
            <w:pPr>
              <w:spacing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É vedada a exclusividade para eventos ou por tempo determinado.</w:t>
            </w:r>
          </w:p>
          <w:p w14:paraId="0000003D" w14:textId="77777777" w:rsidR="00374A08" w:rsidRDefault="0095241F">
            <w:pPr>
              <w:spacing w:after="240"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 xml:space="preserve">A referência a esse documento deve ser realizada expressamente no parecer técnico. </w:t>
            </w:r>
          </w:p>
        </w:tc>
      </w:tr>
      <w:tr w:rsidR="00374A08" w14:paraId="732BE1DE" w14:textId="77777777">
        <w:trPr>
          <w:trHeight w:val="945"/>
        </w:trPr>
        <w:tc>
          <w:tcPr>
            <w:tcW w:w="7508" w:type="dxa"/>
            <w:tcBorders>
              <w:top w:val="single" w:sz="4" w:space="0" w:color="FF0000"/>
              <w:right w:val="single" w:sz="4" w:space="0" w:color="000000"/>
            </w:tcBorders>
            <w:vAlign w:val="center"/>
          </w:tcPr>
          <w:p w14:paraId="0000003F" w14:textId="77777777" w:rsidR="00374A08" w:rsidRDefault="0095241F">
            <w:pPr>
              <w:spacing w:after="80" w:line="276" w:lineRule="auto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3.4 - Serviços técnicos especializados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40" w14:textId="77777777" w:rsidR="00374A08" w:rsidRDefault="0095241F">
            <w:pPr>
              <w:spacing w:before="80" w:after="8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☐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4472C4"/>
              </w:rPr>
              <w:t>(assinalar se for o caso)</w:t>
            </w:r>
          </w:p>
        </w:tc>
      </w:tr>
      <w:tr w:rsidR="00374A08" w14:paraId="7585012D" w14:textId="77777777">
        <w:trPr>
          <w:trHeight w:val="70"/>
        </w:trPr>
        <w:tc>
          <w:tcPr>
            <w:tcW w:w="10472" w:type="dxa"/>
            <w:gridSpan w:val="2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0000041" w14:textId="77777777" w:rsidR="00374A08" w:rsidRDefault="0095241F">
            <w:pPr>
              <w:spacing w:before="240"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i/>
                <w:color w:val="4472C4"/>
              </w:rPr>
              <w:t>Nota explicativa</w:t>
            </w:r>
            <w:r>
              <w:rPr>
                <w:rFonts w:ascii="Calibri" w:eastAsia="Calibri" w:hAnsi="Calibri" w:cs="Calibri"/>
                <w:color w:val="4472C4"/>
              </w:rPr>
              <w:t xml:space="preserve">: Nesse caso, o parecer técnico deve demonstrar que o serviço é de natureza predominantemente intelectual com profissionais ou empresas de notória especialização. </w:t>
            </w:r>
          </w:p>
          <w:p w14:paraId="00000042" w14:textId="77777777" w:rsidR="00374A08" w:rsidRDefault="0095241F">
            <w:pPr>
              <w:spacing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lastRenderedPageBreak/>
              <w:t xml:space="preserve">A notória especialização não se confunde com exclusividade e deve ser fundamentada em estudos, experiência, publicações, organização, aparelhamento, equipe técnica ou outros requisitos relacionados à atividade da contratada. </w:t>
            </w:r>
          </w:p>
          <w:p w14:paraId="00000043" w14:textId="77777777" w:rsidR="00374A08" w:rsidRDefault="0095241F">
            <w:pPr>
              <w:spacing w:after="24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472C4"/>
              </w:rPr>
              <w:t>Nesta hipótese, é vedada a con</w:t>
            </w:r>
            <w:r>
              <w:rPr>
                <w:rFonts w:ascii="Calibri" w:eastAsia="Calibri" w:hAnsi="Calibri" w:cs="Calibri"/>
                <w:color w:val="4472C4"/>
              </w:rPr>
              <w:t>tratação para serviços de publicidade e divulgação e a subcontratação ou atuação de outros profissionais que não justificaram a inexigibilidade.</w:t>
            </w:r>
          </w:p>
        </w:tc>
      </w:tr>
      <w:tr w:rsidR="00374A08" w14:paraId="0A8B121D" w14:textId="77777777">
        <w:trPr>
          <w:trHeight w:val="945"/>
        </w:trPr>
        <w:tc>
          <w:tcPr>
            <w:tcW w:w="7508" w:type="dxa"/>
            <w:tcBorders>
              <w:top w:val="single" w:sz="4" w:space="0" w:color="FF0000"/>
              <w:right w:val="single" w:sz="4" w:space="0" w:color="000000"/>
            </w:tcBorders>
            <w:vAlign w:val="center"/>
          </w:tcPr>
          <w:p w14:paraId="00000045" w14:textId="77777777" w:rsidR="00374A08" w:rsidRDefault="0095241F">
            <w:pPr>
              <w:spacing w:after="80" w:line="276" w:lineRule="auto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lastRenderedPageBreak/>
              <w:t>3.5 - Aquisição ou locação de imóvel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46" w14:textId="77777777" w:rsidR="00374A08" w:rsidRDefault="0095241F">
            <w:pPr>
              <w:spacing w:before="80" w:after="8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☐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4472C4"/>
              </w:rPr>
              <w:t>(assinalar se for o caso)</w:t>
            </w:r>
          </w:p>
        </w:tc>
      </w:tr>
      <w:tr w:rsidR="00374A08" w14:paraId="14429244" w14:textId="77777777">
        <w:trPr>
          <w:trHeight w:val="70"/>
        </w:trPr>
        <w:tc>
          <w:tcPr>
            <w:tcW w:w="10472" w:type="dxa"/>
            <w:gridSpan w:val="2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0000047" w14:textId="77777777" w:rsidR="00374A08" w:rsidRDefault="0095241F">
            <w:pPr>
              <w:spacing w:before="240"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i/>
                <w:color w:val="4472C4"/>
              </w:rPr>
              <w:t>Nota explicativa</w:t>
            </w:r>
            <w:r>
              <w:rPr>
                <w:rFonts w:ascii="Calibri" w:eastAsia="Calibri" w:hAnsi="Calibri" w:cs="Calibri"/>
                <w:color w:val="4472C4"/>
              </w:rPr>
              <w:t>: Nessa específica hipótese, o parecer técnico deverá demonstrar, fundamentadamente, que o imóvel reúne condições locacionais e características próprias que o tornem necessário e vantajoso para a Administração.</w:t>
            </w:r>
          </w:p>
          <w:p w14:paraId="00000048" w14:textId="77777777" w:rsidR="00374A08" w:rsidRDefault="0095241F">
            <w:pPr>
              <w:spacing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O bem imóvel, previamente, deve ser submetido</w:t>
            </w:r>
            <w:r>
              <w:rPr>
                <w:rFonts w:ascii="Calibri" w:eastAsia="Calibri" w:hAnsi="Calibri" w:cs="Calibri"/>
                <w:color w:val="4472C4"/>
              </w:rPr>
              <w:t xml:space="preserve"> à prévia avaliação da SEOP, para que sejam analisados [a] o seu estado de conservação e [b] o valor de mercado. </w:t>
            </w:r>
          </w:p>
          <w:p w14:paraId="00000049" w14:textId="77777777" w:rsidR="00374A08" w:rsidRDefault="0095241F">
            <w:pPr>
              <w:spacing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 xml:space="preserve">O órgão interessado deve avaliar [a] os custos de adaptações, quando necessárias, e [b] o prazo de amortização de investimentos. </w:t>
            </w:r>
          </w:p>
          <w:p w14:paraId="0000004A" w14:textId="77777777" w:rsidR="00374A08" w:rsidRDefault="0095241F">
            <w:pPr>
              <w:spacing w:after="240"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Deverá const</w:t>
            </w:r>
            <w:r>
              <w:rPr>
                <w:rFonts w:ascii="Calibri" w:eastAsia="Calibri" w:hAnsi="Calibri" w:cs="Calibri"/>
                <w:color w:val="4472C4"/>
              </w:rPr>
              <w:t xml:space="preserve">ar no processo a certificação de inexistência de imóveis públicos vagos e disponíveis, por meio de consulta à SEPLAD. </w:t>
            </w:r>
          </w:p>
        </w:tc>
      </w:tr>
    </w:tbl>
    <w:p w14:paraId="0000004C" w14:textId="77777777" w:rsidR="00374A08" w:rsidRDefault="00374A08">
      <w:pPr>
        <w:spacing w:before="200" w:after="200" w:line="276" w:lineRule="auto"/>
        <w:jc w:val="center"/>
      </w:pPr>
    </w:p>
    <w:p w14:paraId="0000004D" w14:textId="77777777" w:rsidR="00374A08" w:rsidRDefault="0095241F">
      <w:pPr>
        <w:spacing w:before="200" w:after="200" w:line="276" w:lineRule="auto"/>
        <w:jc w:val="center"/>
      </w:pPr>
      <w:r>
        <w:t>Cidade (PA), 30 de julho de 2024.</w:t>
      </w:r>
    </w:p>
    <w:p w14:paraId="0000004E" w14:textId="77777777" w:rsidR="00374A08" w:rsidRDefault="00374A08">
      <w:pPr>
        <w:spacing w:before="200" w:after="200" w:line="276" w:lineRule="auto"/>
        <w:jc w:val="center"/>
      </w:pPr>
    </w:p>
    <w:p w14:paraId="0000004F" w14:textId="77777777" w:rsidR="00374A08" w:rsidRDefault="0095241F">
      <w:pPr>
        <w:spacing w:line="276" w:lineRule="auto"/>
        <w:jc w:val="center"/>
      </w:pPr>
      <w:r>
        <w:t>(</w:t>
      </w:r>
      <w:r>
        <w:rPr>
          <w:i/>
        </w:rPr>
        <w:t>Assinatura</w:t>
      </w:r>
      <w:r>
        <w:t>)</w:t>
      </w:r>
    </w:p>
    <w:p w14:paraId="00000050" w14:textId="77777777" w:rsidR="00374A08" w:rsidRDefault="0095241F">
      <w:pPr>
        <w:spacing w:line="276" w:lineRule="auto"/>
        <w:jc w:val="center"/>
        <w:rPr>
          <w:b/>
          <w:smallCaps/>
        </w:rPr>
      </w:pPr>
      <w:r>
        <w:rPr>
          <w:b/>
          <w:smallCaps/>
        </w:rPr>
        <w:t>Nome do Servidor</w:t>
      </w:r>
    </w:p>
    <w:p w14:paraId="00000051" w14:textId="77777777" w:rsidR="00374A08" w:rsidRDefault="0095241F">
      <w:pPr>
        <w:spacing w:line="276" w:lineRule="auto"/>
        <w:jc w:val="center"/>
      </w:pPr>
      <w:r>
        <w:t>Cargo e matrícula</w:t>
      </w:r>
    </w:p>
    <w:sectPr w:rsidR="00374A08">
      <w:headerReference w:type="default" r:id="rId15"/>
      <w:headerReference w:type="first" r:id="rId16"/>
      <w:pgSz w:w="11900" w:h="16840"/>
      <w:pgMar w:top="1701" w:right="709" w:bottom="1134" w:left="709" w:header="851" w:footer="1134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Autor" w:initials="A">
    <w:p w14:paraId="00000060" w14:textId="77777777" w:rsidR="00374A08" w:rsidRDefault="009524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Pendente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6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B3483" w14:textId="77777777" w:rsidR="0095241F" w:rsidRDefault="0095241F">
      <w:r>
        <w:separator/>
      </w:r>
    </w:p>
  </w:endnote>
  <w:endnote w:type="continuationSeparator" w:id="0">
    <w:p w14:paraId="19A1F60D" w14:textId="77777777" w:rsidR="0095241F" w:rsidRDefault="0095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ranq eco sans">
    <w:charset w:val="00"/>
    <w:family w:val="auto"/>
    <w:pitch w:val="default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 Ligh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3C26C" w14:textId="77777777" w:rsidR="003D3381" w:rsidRDefault="003D338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8" w14:textId="77777777" w:rsidR="00374A08" w:rsidRDefault="00374A0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8505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529"/>
      <w:gridCol w:w="2976"/>
    </w:tblGrid>
    <w:tr w:rsidR="00374A08" w14:paraId="4E536C8E" w14:textId="77777777">
      <w:trPr>
        <w:jc w:val="center"/>
      </w:trPr>
      <w:tc>
        <w:tcPr>
          <w:tcW w:w="5529" w:type="dxa"/>
          <w:shd w:val="clear" w:color="auto" w:fill="FFFFFF"/>
        </w:tcPr>
        <w:p w14:paraId="00000059" w14:textId="77777777" w:rsidR="00374A08" w:rsidRDefault="009524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/>
            <w:ind w:left="-113"/>
            <w:jc w:val="both"/>
            <w:rPr>
              <w:rFonts w:ascii="Calibri" w:eastAsia="Calibri" w:hAnsi="Calibri" w:cs="Calibri"/>
              <w:smallCaps/>
              <w:color w:val="00000A"/>
            </w:rPr>
          </w:pPr>
          <w:r>
            <w:rPr>
              <w:rFonts w:ascii="Calibri" w:eastAsia="Calibri" w:hAnsi="Calibri" w:cs="Calibri"/>
              <w:smallCaps/>
              <w:color w:val="00000A"/>
            </w:rPr>
            <w:t xml:space="preserve">Manual de </w:t>
          </w:r>
          <w:r>
            <w:rPr>
              <w:rFonts w:ascii="Calibri" w:eastAsia="Calibri" w:hAnsi="Calibri" w:cs="Calibri"/>
              <w:b/>
              <w:smallCaps/>
              <w:color w:val="00000A"/>
            </w:rPr>
            <w:t>fase preparatória e dispensa eletrônica</w:t>
          </w:r>
        </w:p>
      </w:tc>
      <w:tc>
        <w:tcPr>
          <w:tcW w:w="2976" w:type="dxa"/>
          <w:shd w:val="clear" w:color="auto" w:fill="FFFFFF"/>
        </w:tcPr>
        <w:p w14:paraId="0000005A" w14:textId="77777777" w:rsidR="00374A08" w:rsidRDefault="009524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/>
            <w:ind w:right="-113"/>
            <w:jc w:val="right"/>
            <w:rPr>
              <w:rFonts w:ascii="Calibri" w:eastAsia="Calibri" w:hAnsi="Calibri" w:cs="Calibri"/>
              <w:color w:val="00000A"/>
            </w:rPr>
          </w:pPr>
          <w:r>
            <w:rPr>
              <w:color w:val="00000A"/>
            </w:rPr>
            <w:fldChar w:fldCharType="begin"/>
          </w:r>
          <w:r>
            <w:rPr>
              <w:rFonts w:ascii="Calibri" w:eastAsia="Calibri" w:hAnsi="Calibri" w:cs="Calibri"/>
              <w:color w:val="00000A"/>
            </w:rPr>
            <w:instrText>PAGE</w:instrText>
          </w:r>
          <w:r w:rsidR="003D3381">
            <w:rPr>
              <w:color w:val="00000A"/>
            </w:rPr>
            <w:fldChar w:fldCharType="separate"/>
          </w:r>
          <w:r w:rsidR="003D3381">
            <w:rPr>
              <w:rFonts w:ascii="Calibri" w:eastAsia="Calibri" w:hAnsi="Calibri" w:cs="Calibri"/>
              <w:noProof/>
              <w:color w:val="00000A"/>
            </w:rPr>
            <w:t>26</w:t>
          </w:r>
          <w:r>
            <w:rPr>
              <w:color w:val="00000A"/>
            </w:rPr>
            <w:fldChar w:fldCharType="end"/>
          </w:r>
        </w:p>
      </w:tc>
    </w:tr>
  </w:tbl>
  <w:p w14:paraId="0000005B" w14:textId="77777777" w:rsidR="00374A08" w:rsidRDefault="00374A08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C" w14:textId="77777777" w:rsidR="00374A08" w:rsidRDefault="00374A0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"/>
        <w:szCs w:val="2"/>
      </w:rPr>
    </w:pPr>
  </w:p>
  <w:tbl>
    <w:tblPr>
      <w:tblStyle w:val="a3"/>
      <w:tblW w:w="8505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529"/>
      <w:gridCol w:w="2976"/>
    </w:tblGrid>
    <w:tr w:rsidR="00374A08" w14:paraId="350BE916" w14:textId="77777777">
      <w:tc>
        <w:tcPr>
          <w:tcW w:w="5529" w:type="dxa"/>
          <w:shd w:val="clear" w:color="auto" w:fill="FFFFFF"/>
        </w:tcPr>
        <w:p w14:paraId="0000005D" w14:textId="77777777" w:rsidR="00374A08" w:rsidRDefault="009524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/>
            <w:ind w:left="-113"/>
            <w:jc w:val="both"/>
            <w:rPr>
              <w:rFonts w:ascii="Calibri" w:eastAsia="Calibri" w:hAnsi="Calibri" w:cs="Calibri"/>
              <w:smallCaps/>
              <w:color w:val="00000A"/>
            </w:rPr>
          </w:pPr>
          <w:r>
            <w:rPr>
              <w:rFonts w:ascii="Calibri" w:eastAsia="Calibri" w:hAnsi="Calibri" w:cs="Calibri"/>
              <w:smallCaps/>
              <w:color w:val="00000A"/>
            </w:rPr>
            <w:t xml:space="preserve">Manual de </w:t>
          </w:r>
          <w:r>
            <w:rPr>
              <w:rFonts w:ascii="Calibri" w:eastAsia="Calibri" w:hAnsi="Calibri" w:cs="Calibri"/>
              <w:b/>
              <w:smallCaps/>
              <w:color w:val="00000A"/>
            </w:rPr>
            <w:t>fase preparatória e dispensa eletrônica</w:t>
          </w:r>
        </w:p>
      </w:tc>
      <w:tc>
        <w:tcPr>
          <w:tcW w:w="2976" w:type="dxa"/>
          <w:shd w:val="clear" w:color="auto" w:fill="FFFFFF"/>
        </w:tcPr>
        <w:p w14:paraId="0000005E" w14:textId="77777777" w:rsidR="00374A08" w:rsidRDefault="009524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/>
            <w:ind w:right="-113"/>
            <w:jc w:val="right"/>
            <w:rPr>
              <w:rFonts w:ascii="Calibri" w:eastAsia="Calibri" w:hAnsi="Calibri" w:cs="Calibri"/>
              <w:color w:val="00000A"/>
            </w:rPr>
          </w:pPr>
          <w:r>
            <w:rPr>
              <w:color w:val="00000A"/>
            </w:rPr>
            <w:fldChar w:fldCharType="begin"/>
          </w:r>
          <w:r>
            <w:rPr>
              <w:rFonts w:ascii="Calibri" w:eastAsia="Calibri" w:hAnsi="Calibri" w:cs="Calibri"/>
              <w:color w:val="00000A"/>
            </w:rPr>
            <w:instrText>PAGE</w:instrText>
          </w:r>
          <w:r w:rsidR="003D3381">
            <w:rPr>
              <w:color w:val="00000A"/>
            </w:rPr>
            <w:fldChar w:fldCharType="separate"/>
          </w:r>
          <w:r w:rsidR="003D3381">
            <w:rPr>
              <w:rFonts w:ascii="Calibri" w:eastAsia="Calibri" w:hAnsi="Calibri" w:cs="Calibri"/>
              <w:noProof/>
              <w:color w:val="00000A"/>
            </w:rPr>
            <w:t>25</w:t>
          </w:r>
          <w:r>
            <w:rPr>
              <w:color w:val="00000A"/>
            </w:rPr>
            <w:fldChar w:fldCharType="end"/>
          </w:r>
        </w:p>
      </w:tc>
    </w:tr>
  </w:tbl>
  <w:p w14:paraId="0000005F" w14:textId="77777777" w:rsidR="00374A08" w:rsidRDefault="00374A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BEEFB" w14:textId="77777777" w:rsidR="0095241F" w:rsidRDefault="0095241F">
      <w:r>
        <w:separator/>
      </w:r>
    </w:p>
  </w:footnote>
  <w:footnote w:type="continuationSeparator" w:id="0">
    <w:p w14:paraId="498D78DA" w14:textId="77777777" w:rsidR="0095241F" w:rsidRDefault="00952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796D2" w14:textId="77777777" w:rsidR="003D3381" w:rsidRDefault="003D338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2" w14:textId="77777777" w:rsidR="00374A08" w:rsidRDefault="009524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b/>
        <w:color w:val="000000"/>
      </w:rPr>
    </w:pPr>
    <w:r>
      <w:rPr>
        <w:b/>
        <w:color w:val="000000"/>
      </w:rPr>
      <w:t>Capítulo 5</w:t>
    </w:r>
  </w:p>
  <w:p w14:paraId="00000053" w14:textId="77777777" w:rsidR="00374A08" w:rsidRDefault="009524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i/>
        <w:color w:val="000000"/>
        <w:sz w:val="22"/>
        <w:szCs w:val="22"/>
      </w:rPr>
    </w:pPr>
    <w:r>
      <w:rPr>
        <w:i/>
        <w:color w:val="000000"/>
        <w:sz w:val="22"/>
        <w:szCs w:val="22"/>
      </w:rPr>
      <w:t>Termo de referência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848C2" w14:textId="77777777" w:rsidR="003D3381" w:rsidRDefault="003D3381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4" w14:textId="77777777" w:rsidR="00374A08" w:rsidRDefault="009524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b/>
        <w:color w:val="000000"/>
      </w:rPr>
    </w:pPr>
    <w:r>
      <w:rPr>
        <w:b/>
        <w:color w:val="000000"/>
      </w:rPr>
      <w:t xml:space="preserve">Capítulo </w:t>
    </w:r>
    <w:r>
      <w:rPr>
        <w:b/>
        <w:color w:val="000000"/>
        <w:highlight w:val="yellow"/>
      </w:rPr>
      <w:t>xxx</w:t>
    </w:r>
  </w:p>
  <w:p w14:paraId="00000055" w14:textId="77777777" w:rsidR="00374A08" w:rsidRDefault="009524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i/>
        <w:color w:val="000000"/>
        <w:sz w:val="22"/>
        <w:szCs w:val="22"/>
      </w:rPr>
    </w:pPr>
    <w:r>
      <w:rPr>
        <w:i/>
        <w:color w:val="000000"/>
        <w:sz w:val="22"/>
        <w:szCs w:val="22"/>
      </w:rPr>
      <w:t>Modelo de Parecer Técnico</w:t>
    </w:r>
  </w:p>
  <w:p w14:paraId="00000056" w14:textId="77777777" w:rsidR="00374A08" w:rsidRDefault="00374A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7" w14:textId="77777777" w:rsidR="00374A08" w:rsidRDefault="00374A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08"/>
    <w:rsid w:val="00374A08"/>
    <w:rsid w:val="003D3381"/>
    <w:rsid w:val="0095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24A"/>
  </w:style>
  <w:style w:type="paragraph" w:styleId="Ttulo1">
    <w:name w:val="heading 1"/>
    <w:basedOn w:val="Normal"/>
    <w:next w:val="Normal"/>
    <w:link w:val="Ttulo1Char"/>
    <w:uiPriority w:val="9"/>
    <w:qFormat/>
    <w:rsid w:val="00E91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942810"/>
    <w:pPr>
      <w:widowControl w:val="0"/>
      <w:jc w:val="both"/>
    </w:pPr>
    <w:rPr>
      <w:rFonts w:ascii="Verdana" w:eastAsiaTheme="minorEastAsia" w:hAnsi="Verdana"/>
      <w:color w:val="00000A"/>
    </w:rPr>
  </w:style>
  <w:style w:type="character" w:customStyle="1" w:styleId="CorpodetextoChar">
    <w:name w:val="Corpo de texto Char"/>
    <w:basedOn w:val="Fontepargpadro"/>
    <w:link w:val="Corpodetexto"/>
    <w:rsid w:val="00942810"/>
    <w:rPr>
      <w:rFonts w:ascii="Verdana" w:eastAsiaTheme="minorEastAsia" w:hAnsi="Verdana"/>
      <w:color w:val="00000A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E7388D"/>
  </w:style>
  <w:style w:type="paragraph" w:customStyle="1" w:styleId="Padro">
    <w:name w:val="Padrão"/>
    <w:qFormat/>
    <w:rsid w:val="00E7388D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Cabealho1">
    <w:name w:val="Cabeçalho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E7388D"/>
    <w:pPr>
      <w:tabs>
        <w:tab w:val="center" w:pos="4252"/>
        <w:tab w:val="right" w:pos="8504"/>
      </w:tabs>
    </w:pPr>
    <w:rPr>
      <w:rFonts w:eastAsiaTheme="minorEastAsia"/>
      <w:color w:val="00000A"/>
    </w:rPr>
  </w:style>
  <w:style w:type="character" w:customStyle="1" w:styleId="RodapChar">
    <w:name w:val="Rodapé Char"/>
    <w:basedOn w:val="Fontepargpadro"/>
    <w:link w:val="Rodap"/>
    <w:uiPriority w:val="99"/>
    <w:rsid w:val="00E7388D"/>
    <w:rPr>
      <w:rFonts w:ascii="Calibri" w:eastAsiaTheme="minorEastAsia" w:hAnsi="Calibri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DED"/>
  </w:style>
  <w:style w:type="character" w:customStyle="1" w:styleId="GradeColorida-nfase1Char">
    <w:name w:val="Grade Colorida - Ênfase 1 Char"/>
    <w:link w:val="GradeColorida-nfase1"/>
    <w:uiPriority w:val="29"/>
    <w:rsid w:val="00CF6723"/>
    <w:rPr>
      <w:rFonts w:ascii="Spranq eco sans" w:hAnsi="Spranq eco sans"/>
      <w:iCs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CF6723"/>
    <w:rPr>
      <w:color w:val="0563C1"/>
      <w:u w:val="single"/>
    </w:rPr>
  </w:style>
  <w:style w:type="table" w:styleId="GradeColorida-nfase1">
    <w:name w:val="Colorful Grid Accent 1"/>
    <w:basedOn w:val="Tabelanormal"/>
    <w:link w:val="GradeColorida-nfase1Char"/>
    <w:uiPriority w:val="29"/>
    <w:semiHidden/>
    <w:unhideWhenUsed/>
    <w:rsid w:val="00CF6723"/>
    <w:rPr>
      <w:rFonts w:ascii="Spranq eco sans" w:hAnsi="Spranq eco sans"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elacomgrade">
    <w:name w:val="Table Grid"/>
    <w:basedOn w:val="Tabelanormal"/>
    <w:uiPriority w:val="39"/>
    <w:rsid w:val="009E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3E2A"/>
    <w:pPr>
      <w:spacing w:after="80" w:line="276" w:lineRule="auto"/>
      <w:ind w:firstLine="709"/>
      <w:jc w:val="both"/>
    </w:pPr>
    <w:rPr>
      <w:rFonts w:ascii="Times New Roman" w:hAnsi="Times New Roman" w:cs="Times New Roman (Corpo CS)"/>
    </w:rPr>
  </w:style>
  <w:style w:type="character" w:customStyle="1" w:styleId="Ttulo1Char">
    <w:name w:val="Título 1 Char"/>
    <w:basedOn w:val="Fontepargpadro"/>
    <w:link w:val="Ttulo1"/>
    <w:uiPriority w:val="9"/>
    <w:rsid w:val="00E9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A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6A2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352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C97352"/>
    <w:pPr>
      <w:spacing w:after="10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7460"/>
    <w:rPr>
      <w:color w:val="605E5C"/>
      <w:shd w:val="clear" w:color="auto" w:fill="E1DFDD"/>
    </w:rPr>
  </w:style>
  <w:style w:type="paragraph" w:customStyle="1" w:styleId="novocabealho">
    <w:name w:val="novo cabeçalho"/>
    <w:basedOn w:val="Cabealho"/>
    <w:qFormat/>
    <w:rsid w:val="008F6F79"/>
    <w:pPr>
      <w:jc w:val="center"/>
    </w:pPr>
  </w:style>
  <w:style w:type="paragraph" w:styleId="PargrafodaLista">
    <w:name w:val="List Paragraph"/>
    <w:basedOn w:val="Normal"/>
    <w:uiPriority w:val="34"/>
    <w:qFormat/>
    <w:rsid w:val="008F6F79"/>
    <w:pPr>
      <w:ind w:left="720"/>
      <w:contextualSpacing/>
    </w:pPr>
  </w:style>
  <w:style w:type="paragraph" w:customStyle="1" w:styleId="Pargrafo">
    <w:name w:val="Parágrafo"/>
    <w:basedOn w:val="Normal"/>
    <w:qFormat/>
    <w:rsid w:val="00E16CF6"/>
    <w:pPr>
      <w:spacing w:line="360" w:lineRule="auto"/>
      <w:ind w:firstLine="709"/>
      <w:jc w:val="both"/>
    </w:pPr>
    <w:rPr>
      <w:rFonts w:ascii="Times New Roman" w:hAnsi="Times New Roman" w:cs="Times New Roman"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241A1C"/>
    <w:pPr>
      <w:tabs>
        <w:tab w:val="right" w:leader="dot" w:pos="8488"/>
      </w:tabs>
      <w:spacing w:after="100"/>
      <w:ind w:left="240"/>
    </w:pPr>
    <w:rPr>
      <w:rFonts w:ascii="Signika Light" w:hAnsi="Signika Light" w:cs="Segoe UI"/>
      <w:b/>
      <w:bCs/>
      <w:noProof/>
      <w:kern w:val="16"/>
    </w:rPr>
  </w:style>
  <w:style w:type="paragraph" w:styleId="Reviso">
    <w:name w:val="Revision"/>
    <w:hidden/>
    <w:uiPriority w:val="99"/>
    <w:semiHidden/>
    <w:rsid w:val="00A85D8C"/>
  </w:style>
  <w:style w:type="character" w:styleId="Refdecomentrio">
    <w:name w:val="annotation reference"/>
    <w:basedOn w:val="Fontepargpadro"/>
    <w:uiPriority w:val="99"/>
    <w:semiHidden/>
    <w:unhideWhenUsed/>
    <w:rsid w:val="005E20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E201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E20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20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2014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Spranq eco sans" w:eastAsia="Spranq eco sans" w:hAnsi="Spranq eco sans" w:cs="Spranq eco sans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0">
    <w:basedOn w:val="TableNormal"/>
    <w:rPr>
      <w:rFonts w:ascii="Spranq eco sans" w:eastAsia="Spranq eco sans" w:hAnsi="Spranq eco sans" w:cs="Spranq eco sans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1">
    <w:basedOn w:val="TableNormal"/>
    <w:rPr>
      <w:rFonts w:ascii="Spranq eco sans" w:eastAsia="Spranq eco sans" w:hAnsi="Spranq eco sans" w:cs="Spranq eco sans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2">
    <w:basedOn w:val="TableNormal"/>
    <w:rPr>
      <w:rFonts w:ascii="Spranq eco sans" w:eastAsia="Spranq eco sans" w:hAnsi="Spranq eco sans" w:cs="Spranq eco sans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3">
    <w:basedOn w:val="TableNormal"/>
    <w:rPr>
      <w:rFonts w:ascii="Spranq eco sans" w:eastAsia="Spranq eco sans" w:hAnsi="Spranq eco sans" w:cs="Spranq eco sans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FAbtIC48gXRjcKnNgcsZ2oIilg==">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2024-12-17T16:16:00Z</dcterms:created>
  <dcterms:modified xsi:type="dcterms:W3CDTF">2024-12-17T16:16:00Z</dcterms:modified>
</cp:coreProperties>
</file>